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23253">
        <w:rPr>
          <w:rFonts w:ascii="Times New Roman" w:hAnsi="Times New Roman" w:cs="Times New Roman"/>
          <w:caps/>
          <w:sz w:val="28"/>
          <w:szCs w:val="28"/>
        </w:rPr>
        <w:t>ПОСТАНОВЛЕНИЕ СОВЕТА МИНИСТРОВ РЕСПУБЛИКИ БЕЛАРУСЬ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13 декабря 2012 г. № 1147</w:t>
      </w:r>
    </w:p>
    <w:p w:rsidR="007D4503" w:rsidRPr="00923253" w:rsidRDefault="007D4503" w:rsidP="007D4503">
      <w:pPr>
        <w:autoSpaceDE w:val="0"/>
        <w:autoSpaceDN w:val="0"/>
        <w:adjustRightInd w:val="0"/>
        <w:spacing w:before="240" w:after="240" w:line="240" w:lineRule="auto"/>
        <w:ind w:right="2265"/>
        <w:rPr>
          <w:rFonts w:ascii="Times New Roman" w:hAnsi="Times New Roman" w:cs="Times New Roman"/>
          <w:b/>
          <w:bCs/>
          <w:sz w:val="28"/>
          <w:szCs w:val="28"/>
        </w:rPr>
      </w:pPr>
      <w:r w:rsidRPr="00923253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</w:t>
      </w:r>
      <w:proofErr w:type="gramStart"/>
      <w:r w:rsidRPr="00923253">
        <w:rPr>
          <w:rFonts w:ascii="Times New Roman" w:hAnsi="Times New Roman" w:cs="Times New Roman"/>
          <w:b/>
          <w:bCs/>
          <w:sz w:val="28"/>
          <w:szCs w:val="28"/>
        </w:rPr>
        <w:t>чек-листы</w:t>
      </w:r>
      <w:proofErr w:type="gramEnd"/>
      <w:r w:rsidRPr="00923253">
        <w:rPr>
          <w:rFonts w:ascii="Times New Roman" w:hAnsi="Times New Roman" w:cs="Times New Roman"/>
          <w:b/>
          <w:bCs/>
          <w:sz w:val="28"/>
          <w:szCs w:val="28"/>
        </w:rPr>
        <w:t>), определении требований к форме контрольного списка вопросов (чек-листа) и признании утратившим силу постановления Совета Министров Республики Беларусь от 1 апреля 2010 г. № 489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30 сентября 2013 г. № 855 (Национальный правовой Интернет-портал Республики Беларусь, 05.10.2013, 5/37873) &lt;C21300855&gt;;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11 ноября 2013 г. № 963 (Национальный правовой Интернет-портал Республики Беларусь, 14.11.2013, 5/38010) &lt;C21300963&gt;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В соответствии с абзацем третьим подпункта 5.4 пункта 5 Указа Президента Республики Беларусь от 26 июля 2012 г. № 332 «О некоторых мерах по совершенствованию контрольной (надзорной) деятельности в Республике Беларусь» Совет Министров Республики Беларусь ПОСТАНОВЛЯЕТ: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CA0_П_1_1CN__point_1"/>
      <w:bookmarkEnd w:id="0"/>
      <w:r w:rsidRPr="00923253">
        <w:rPr>
          <w:rFonts w:ascii="Times New Roman" w:hAnsi="Times New Roman" w:cs="Times New Roman"/>
          <w:sz w:val="28"/>
          <w:szCs w:val="28"/>
        </w:rPr>
        <w:t>1. Утвердить прилагаемый перечень контролирующих (надзорных) органов и (или) сфер контроля (надзора), которые применяют (в которых применяются) контрольные списки вопросов (</w:t>
      </w:r>
      <w:proofErr w:type="gramStart"/>
      <w:r w:rsidRPr="00923253">
        <w:rPr>
          <w:rFonts w:ascii="Times New Roman" w:hAnsi="Times New Roman" w:cs="Times New Roman"/>
          <w:sz w:val="28"/>
          <w:szCs w:val="28"/>
        </w:rPr>
        <w:t>чек-листы</w:t>
      </w:r>
      <w:proofErr w:type="gramEnd"/>
      <w:r w:rsidRPr="00923253">
        <w:rPr>
          <w:rFonts w:ascii="Times New Roman" w:hAnsi="Times New Roman" w:cs="Times New Roman"/>
          <w:sz w:val="28"/>
          <w:szCs w:val="28"/>
        </w:rPr>
        <w:t>).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1" w:name="CA0_П_2_2CN__point_2"/>
      <w:bookmarkEnd w:id="1"/>
      <w:r w:rsidRPr="00923253">
        <w:rPr>
          <w:rFonts w:ascii="Times New Roman" w:hAnsi="Times New Roman" w:cs="Times New Roman"/>
          <w:sz w:val="28"/>
          <w:szCs w:val="28"/>
        </w:rPr>
        <w:t>2. Определить, что форма контрольного списка вопросов (</w:t>
      </w:r>
      <w:proofErr w:type="gramStart"/>
      <w:r w:rsidRPr="00923253">
        <w:rPr>
          <w:rFonts w:ascii="Times New Roman" w:hAnsi="Times New Roman" w:cs="Times New Roman"/>
          <w:sz w:val="28"/>
          <w:szCs w:val="28"/>
        </w:rPr>
        <w:t>чек-листа</w:t>
      </w:r>
      <w:proofErr w:type="gramEnd"/>
      <w:r w:rsidRPr="00923253">
        <w:rPr>
          <w:rFonts w:ascii="Times New Roman" w:hAnsi="Times New Roman" w:cs="Times New Roman"/>
          <w:sz w:val="28"/>
          <w:szCs w:val="28"/>
        </w:rPr>
        <w:t>) включает: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2" w:name="CA0_П_2_2_ПП_2_1_1CN__underpoint_2_1"/>
      <w:bookmarkEnd w:id="2"/>
      <w:r w:rsidRPr="00923253">
        <w:rPr>
          <w:rFonts w:ascii="Times New Roman" w:hAnsi="Times New Roman" w:cs="Times New Roman"/>
          <w:sz w:val="28"/>
          <w:szCs w:val="28"/>
        </w:rPr>
        <w:t>2.1. титульный лист, содержащий сведения: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3" w:name="CA0_П_2_2_ПП_2_1_1_ПП_2_1_1_2CN__underpo"/>
      <w:bookmarkEnd w:id="3"/>
      <w:r w:rsidRPr="00923253">
        <w:rPr>
          <w:rFonts w:ascii="Times New Roman" w:hAnsi="Times New Roman" w:cs="Times New Roman"/>
          <w:sz w:val="28"/>
          <w:szCs w:val="28"/>
        </w:rPr>
        <w:t>2.1.1. о контролирующем (надзорном) органе: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наименование контролирующего (надзорного) органа, его ведомственная принадлежность (при наличии);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указание сферы контроля (надзора);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номер контрольного списка вопросов (</w:t>
      </w:r>
      <w:proofErr w:type="gramStart"/>
      <w:r w:rsidRPr="00923253">
        <w:rPr>
          <w:rFonts w:ascii="Times New Roman" w:hAnsi="Times New Roman" w:cs="Times New Roman"/>
          <w:sz w:val="28"/>
          <w:szCs w:val="28"/>
        </w:rPr>
        <w:t>чек-листа</w:t>
      </w:r>
      <w:proofErr w:type="gramEnd"/>
      <w:r w:rsidRPr="00923253">
        <w:rPr>
          <w:rFonts w:ascii="Times New Roman" w:hAnsi="Times New Roman" w:cs="Times New Roman"/>
          <w:sz w:val="28"/>
          <w:szCs w:val="28"/>
        </w:rPr>
        <w:t>);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дата начала и завершения заполнения контрольного списка вопросов (</w:t>
      </w:r>
      <w:proofErr w:type="gramStart"/>
      <w:r w:rsidRPr="00923253">
        <w:rPr>
          <w:rFonts w:ascii="Times New Roman" w:hAnsi="Times New Roman" w:cs="Times New Roman"/>
          <w:sz w:val="28"/>
          <w:szCs w:val="28"/>
        </w:rPr>
        <w:t>чек-листа</w:t>
      </w:r>
      <w:proofErr w:type="gramEnd"/>
      <w:r w:rsidRPr="00923253">
        <w:rPr>
          <w:rFonts w:ascii="Times New Roman" w:hAnsi="Times New Roman" w:cs="Times New Roman"/>
          <w:sz w:val="28"/>
          <w:szCs w:val="28"/>
        </w:rPr>
        <w:t>) или дата его направления;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отметка о заполнении контрольного списка вопросов (</w:t>
      </w:r>
      <w:proofErr w:type="gramStart"/>
      <w:r w:rsidRPr="00923253">
        <w:rPr>
          <w:rFonts w:ascii="Times New Roman" w:hAnsi="Times New Roman" w:cs="Times New Roman"/>
          <w:sz w:val="28"/>
          <w:szCs w:val="28"/>
        </w:rPr>
        <w:t>чек-листа</w:t>
      </w:r>
      <w:proofErr w:type="gramEnd"/>
      <w:r w:rsidRPr="00923253">
        <w:rPr>
          <w:rFonts w:ascii="Times New Roman" w:hAnsi="Times New Roman" w:cs="Times New Roman"/>
          <w:sz w:val="28"/>
          <w:szCs w:val="28"/>
        </w:rPr>
        <w:t>) в ходе проверки или для использования при планировании проверок;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вид проверки (плановая, внеплановая);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lastRenderedPageBreak/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4" w:name="CA0_П_2_2_ПП_2_1_1_ПП_2_1_2_3CN__underpo"/>
      <w:bookmarkEnd w:id="4"/>
      <w:r w:rsidRPr="00923253">
        <w:rPr>
          <w:rFonts w:ascii="Times New Roman" w:hAnsi="Times New Roman" w:cs="Times New Roman"/>
          <w:sz w:val="28"/>
          <w:szCs w:val="28"/>
        </w:rPr>
        <w:t>2.1.2. о проверяемом субъекте: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учетный номер плательщика;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наименование (фамилия, собственное имя, отчество (если таковое имеется) проверяемого субъекта;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место нахождения проверяемого субъекта (объекта проверяемого субъекта);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место осуществления деятельности;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необходимые характеристики объекта проверяемого субъекта (устанавливаются контролирующим (надзорным) органом);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инициалы, фамилия, должность, контактный телефон представителя (представителей) проверяемого субъекта;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5" w:name="CA0_П_2_2_ПП_2_2_4CN__underpoint_2_2"/>
      <w:bookmarkEnd w:id="5"/>
      <w:r w:rsidRPr="00923253">
        <w:rPr>
          <w:rFonts w:ascii="Times New Roman" w:hAnsi="Times New Roman" w:cs="Times New Roman"/>
          <w:sz w:val="28"/>
          <w:szCs w:val="28"/>
        </w:rPr>
        <w:t>2.2. перечень требований, предъявляемых к проверяемому субъекту.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Данный перечень не может носить общий или отсылочный характер, формируется контролирующим (надзорным) органом со ссылкой на структурные элементы нормативных правовых актов, в том числе технических нормативных правовых актов, устанавливающих требования, предъявляемые к проверяемому субъекту. Формулировки таких требований должны исключать возможность их различного толкования и предусматривать однозначные ответы («да», «нет», «не требуется») либо указание количественного показателя.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В названном перечне должны содержаться следующие позиции для отражения сведений о соблюдении проверяемым субъектом требований, предъявляемых в соответствии с нормативными правовыми актами, в том числе техническими нормативными правовыми актами: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позиция «Да» (если предъявляемое требование реализовано в полном объеме);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позиция «Нет» (если предъявляемое требование не реализовано или реализовано не в полном объеме);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позиция «Не требуется» (если предъявляемое требование не подлежит реализации проверяемым субъектом и (или) контролю (надзору) применительно к данному проверяемому субъекту);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позиция «Количественный показатель» (если предъявляемое требование подлежит количественной оценке);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>позиция «Примечание» (для отражения поясняющей записи, если предъявляемое требование реализовано не в полном объеме, и иных пояснений);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6" w:name="CA0_П_2_2_ПП_2_3_5CN__underpoint_2_3"/>
      <w:bookmarkEnd w:id="6"/>
      <w:r w:rsidRPr="00923253">
        <w:rPr>
          <w:rFonts w:ascii="Times New Roman" w:hAnsi="Times New Roman" w:cs="Times New Roman"/>
          <w:sz w:val="28"/>
          <w:szCs w:val="28"/>
        </w:rPr>
        <w:t>2.3. позиции для проставления подписи, инициалов, фамилии, должности проверяющего (руководителя проверки) и представителя проверяемого субъекта, даты подписания указанными лицами контрольного списка вопросов (</w:t>
      </w:r>
      <w:proofErr w:type="gramStart"/>
      <w:r w:rsidRPr="00923253">
        <w:rPr>
          <w:rFonts w:ascii="Times New Roman" w:hAnsi="Times New Roman" w:cs="Times New Roman"/>
          <w:sz w:val="28"/>
          <w:szCs w:val="28"/>
        </w:rPr>
        <w:t>чек-листа</w:t>
      </w:r>
      <w:proofErr w:type="gramEnd"/>
      <w:r w:rsidRPr="00923253">
        <w:rPr>
          <w:rFonts w:ascii="Times New Roman" w:hAnsi="Times New Roman" w:cs="Times New Roman"/>
          <w:sz w:val="28"/>
          <w:szCs w:val="28"/>
        </w:rPr>
        <w:t>);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7" w:name="CA0_П_2_2_ПП_2_4_6CN__underpoint_2_4"/>
      <w:bookmarkEnd w:id="7"/>
      <w:r w:rsidRPr="00923253">
        <w:rPr>
          <w:rFonts w:ascii="Times New Roman" w:hAnsi="Times New Roman" w:cs="Times New Roman"/>
          <w:sz w:val="28"/>
          <w:szCs w:val="28"/>
        </w:rPr>
        <w:lastRenderedPageBreak/>
        <w:t>2.4. перечень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субъекту;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8" w:name="CA0_П_2_2_ПП_2_5_7CN__underpoint_2_5"/>
      <w:bookmarkEnd w:id="8"/>
      <w:r w:rsidRPr="00923253">
        <w:rPr>
          <w:rFonts w:ascii="Times New Roman" w:hAnsi="Times New Roman" w:cs="Times New Roman"/>
          <w:sz w:val="28"/>
          <w:szCs w:val="28"/>
        </w:rPr>
        <w:t>2.5. пояснения по заполнению контрольного списка вопросов (</w:t>
      </w:r>
      <w:proofErr w:type="gramStart"/>
      <w:r w:rsidRPr="00923253">
        <w:rPr>
          <w:rFonts w:ascii="Times New Roman" w:hAnsi="Times New Roman" w:cs="Times New Roman"/>
          <w:sz w:val="28"/>
          <w:szCs w:val="28"/>
        </w:rPr>
        <w:t>чек-листа</w:t>
      </w:r>
      <w:proofErr w:type="gramEnd"/>
      <w:r w:rsidRPr="00923253">
        <w:rPr>
          <w:rFonts w:ascii="Times New Roman" w:hAnsi="Times New Roman" w:cs="Times New Roman"/>
          <w:sz w:val="28"/>
          <w:szCs w:val="28"/>
        </w:rPr>
        <w:t>).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9" w:name="CA0_П_3_3CN__point_3"/>
      <w:bookmarkEnd w:id="9"/>
      <w:r w:rsidRPr="00923253">
        <w:rPr>
          <w:rFonts w:ascii="Times New Roman" w:hAnsi="Times New Roman" w:cs="Times New Roman"/>
          <w:sz w:val="28"/>
          <w:szCs w:val="28"/>
        </w:rPr>
        <w:t>3. Республиканским органам государственного управления и иным государственным организациям, подчиненным Правительству Республики Беларусь, до 15 января 2013 г. утвердить формы контрольных списков вопросов (</w:t>
      </w:r>
      <w:proofErr w:type="gramStart"/>
      <w:r w:rsidRPr="00923253">
        <w:rPr>
          <w:rFonts w:ascii="Times New Roman" w:hAnsi="Times New Roman" w:cs="Times New Roman"/>
          <w:sz w:val="28"/>
          <w:szCs w:val="28"/>
        </w:rPr>
        <w:t>чек-листов</w:t>
      </w:r>
      <w:proofErr w:type="gramEnd"/>
      <w:r w:rsidRPr="00923253">
        <w:rPr>
          <w:rFonts w:ascii="Times New Roman" w:hAnsi="Times New Roman" w:cs="Times New Roman"/>
          <w:sz w:val="28"/>
          <w:szCs w:val="28"/>
        </w:rPr>
        <w:t>) с учетом требований, установленных в пункте 2 настоящего постановления, и обеспечить их размещение на официальных сайтах соответствующих контролирующих (надзорных) органов в глобальной компьютерной сети Интернет.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CA0_П_4_4CN__point_4"/>
      <w:bookmarkEnd w:id="10"/>
      <w:r w:rsidRPr="00923253">
        <w:rPr>
          <w:rFonts w:ascii="Times New Roman" w:hAnsi="Times New Roman" w:cs="Times New Roman"/>
          <w:sz w:val="28"/>
          <w:szCs w:val="28"/>
        </w:rPr>
        <w:t>4. Местные исполнительные и распорядительные органы применяют формы контрольных списков вопросов (</w:t>
      </w:r>
      <w:proofErr w:type="gramStart"/>
      <w:r w:rsidRPr="00923253">
        <w:rPr>
          <w:rFonts w:ascii="Times New Roman" w:hAnsi="Times New Roman" w:cs="Times New Roman"/>
          <w:sz w:val="28"/>
          <w:szCs w:val="28"/>
        </w:rPr>
        <w:t>чек-листов</w:t>
      </w:r>
      <w:proofErr w:type="gramEnd"/>
      <w:r w:rsidRPr="00923253">
        <w:rPr>
          <w:rFonts w:ascii="Times New Roman" w:hAnsi="Times New Roman" w:cs="Times New Roman"/>
          <w:sz w:val="28"/>
          <w:szCs w:val="28"/>
        </w:rPr>
        <w:t>), утвержденные республиканскими органами государственного управления и иными государственными организациями, подчиненными Правительству Республики Беларусь, в соответствующей сфере контроля (надзора), в которой применяются контрольные списки вопросов (чек-листы).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CA0_П_5_5CN__point_5"/>
      <w:bookmarkEnd w:id="11"/>
      <w:r w:rsidRPr="00923253"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Совета Министров Республики Беларусь от 1 апреля 2010 г. № 489 «Об утверждении форм контрольного списка вопросов (</w:t>
      </w:r>
      <w:proofErr w:type="gramStart"/>
      <w:r w:rsidRPr="00923253">
        <w:rPr>
          <w:rFonts w:ascii="Times New Roman" w:hAnsi="Times New Roman" w:cs="Times New Roman"/>
          <w:sz w:val="28"/>
          <w:szCs w:val="28"/>
        </w:rPr>
        <w:t>чек-листа</w:t>
      </w:r>
      <w:proofErr w:type="gramEnd"/>
      <w:r w:rsidRPr="00923253">
        <w:rPr>
          <w:rFonts w:ascii="Times New Roman" w:hAnsi="Times New Roman" w:cs="Times New Roman"/>
          <w:sz w:val="28"/>
          <w:szCs w:val="28"/>
        </w:rPr>
        <w:t>), перечня контролирующих (надзорных) органов и сфер контроля (надзора), которые применяют (в которых применяется) контрольный список вопросов (чек-лист)» (Национальный реестр правовых актов Республики Беларусь, 2010 г., № 84, 5/31575).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CA0_П_6_6CN__point_6"/>
      <w:bookmarkEnd w:id="12"/>
      <w:r w:rsidRPr="00923253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15 января 2013 г., за исключением пункта 3, вступающего в силу со дня официального опубликования настоящего постановления.</w:t>
      </w:r>
    </w:p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6"/>
        <w:gridCol w:w="6786"/>
      </w:tblGrid>
      <w:tr w:rsidR="00923253" w:rsidRPr="00923253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3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9"/>
        <w:gridCol w:w="3393"/>
      </w:tblGrid>
      <w:tr w:rsidR="00923253" w:rsidRPr="00923253">
        <w:trPr>
          <w:tblCellSpacing w:w="0" w:type="dxa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CN__утв_1"/>
            <w:bookmarkEnd w:id="13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9232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Совета Министров </w:t>
            </w:r>
            <w:r w:rsidRPr="00923253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Беларусь</w:t>
            </w:r>
          </w:p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13.12.2012 № 1147</w:t>
            </w:r>
          </w:p>
        </w:tc>
      </w:tr>
    </w:tbl>
    <w:p w:rsidR="007D4503" w:rsidRPr="00923253" w:rsidRDefault="007D4503" w:rsidP="007D4503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CA0_ПРЧ__1CN__заг_утв_1"/>
      <w:bookmarkEnd w:id="14"/>
      <w:proofErr w:type="gramStart"/>
      <w:r w:rsidRPr="009232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  <w:r w:rsidRPr="00923253">
        <w:rPr>
          <w:rFonts w:ascii="Times New Roman" w:hAnsi="Times New Roman" w:cs="Times New Roman"/>
          <w:b/>
          <w:bCs/>
          <w:sz w:val="28"/>
          <w:szCs w:val="28"/>
        </w:rPr>
        <w:br/>
        <w:t>контролирующих (надзорных) органов и (или) сфер контроля (надзора), которые применяют (в которых применяются) контрольные списки вопросов (чек-листы)</w:t>
      </w:r>
      <w:proofErr w:type="gramEnd"/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483"/>
        <w:gridCol w:w="3977"/>
      </w:tblGrid>
      <w:tr w:rsidR="00923253" w:rsidRPr="00923253">
        <w:trPr>
          <w:trHeight w:val="240"/>
        </w:trPr>
        <w:tc>
          <w:tcPr>
            <w:tcW w:w="15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Наименование ко</w:t>
            </w:r>
            <w:bookmarkStart w:id="15" w:name="_GoBack"/>
            <w:bookmarkEnd w:id="15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нтролирующего (надзорного) органа</w:t>
            </w:r>
          </w:p>
        </w:tc>
        <w:tc>
          <w:tcPr>
            <w:tcW w:w="3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Сфера контроля (надзора)</w:t>
            </w:r>
          </w:p>
        </w:tc>
      </w:tr>
      <w:tr w:rsidR="00923253" w:rsidRPr="00923253">
        <w:trPr>
          <w:trHeight w:val="240"/>
        </w:trPr>
        <w:tc>
          <w:tcPr>
            <w:tcW w:w="7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в соответствии с Указом Президента Республики Беларусь от 16 октября 2009 г. № 510 «О совершенствовании контрольной (надзорной) деятельности в Республике Беларусь» (Национальный реестр правовых актов Республики Беларусь, 2009 г., № 253, 1/11062)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в отношении проверяемых субъектов, деятельность которых находится в сфере контроля (надзора) контролирующего (надзорного) органа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1. Управление делами Президента Республики Беларусь</w:t>
            </w:r>
          </w:p>
        </w:tc>
        <w:tc>
          <w:tcPr>
            <w:tcW w:w="20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Департамент по гуманитарной деятельности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контроль (надзор) за выполнением лицензиатами законодательства о лицензировании, лицензионных требований и условий осуществления лицензируемого вида деятельности – деятельности, связанной с оздоровлением детей за рубежом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в отношении всех проверяемых субъектов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«Центр гигиены и эпидемиологии» Управления делами Президента Республики Беларусь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государственный санитарный надзор за соблюдением законодательства в области санитарно-эпидемиологического благополучия населения организациями, подчиненными Управлению делами Президента Республики Беларусь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2. Министерство внутренних дел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охранной деятельности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внутренних дел и подразделения, входящие в их систему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контроль (надзор) за выполнением лицензиатами законодательства о лицензировании, лицензионных требований и условий осуществления лицензируемого вида деятельности – охранной деятельности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3. Министерство здравоохранения</w:t>
            </w:r>
          </w:p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органы и учреждения, осуществляющие государственный санитарный надзор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государственного санитарного надзора за соблюдением проверяемыми субъектами санитарно-эпидемиологического законодательства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4. Министерство по налогам и сборам</w:t>
            </w:r>
          </w:p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инспекции Министерства по налогам и сборам по областям, г. Минску, районам, городам и районам в городах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сырья, в том числе контроль за соблюдением проверяемыми субъектами законодательства о лицензировании указанных видов деятельности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253" w:rsidRPr="00923253">
        <w:trPr>
          <w:trHeight w:val="240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в сфере игорного бизнеса и соблюдением законодательства при осуществлении деятельности в этой сфере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253" w:rsidRPr="00923253">
        <w:trPr>
          <w:trHeight w:val="240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организаторов азартных игр в части соблюдения ими законодательства о предотвращении </w:t>
            </w:r>
            <w:r w:rsidRPr="00923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легализации доходов, полученных преступным путем, и финансирования террористической деятельности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Министерство по чрезвычайным ситуациям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контроль (надзор) за выполнением лицензиатами законодательства о лицензировании, лицензионных требований и условий осуществления лицензируемого вида деятельности – деятельности, связанной с осуществлением контроля радиоактивного загрязнения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Департамент по ликвидации последствий катастрофы на Чернобыльской АЭС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государственного пожарного надзора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государственный пожарный надзор, надзор за соблюдением законодательства при осуществлении деятельности по обеспечению пожарной безопасности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в отношении проверяемых субъектов, относящихся к средней и низкой группе риска и эксплуатирующих торговые объекты (за исключением передвижных торговых объектов и торговых объектов общественного питания) с площадью торгового зала до 75 кв. метров</w:t>
            </w:r>
            <w:proofErr w:type="gramEnd"/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Департамент по надзору за безопасным ведением работ в промышленности, областные, Минское городское управление Департамента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 в области промышленной безопасности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в отношении проверяемых сельскохозяйственных организаций, эксплуатирующих паровые котлы с давлением пара не более 0,07 Мпа (0,7 бар) и водогрейные котлы с температурой нагрева воды не выше 115</w:t>
            </w:r>
            <w:proofErr w:type="gramStart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, единичной </w:t>
            </w:r>
            <w:r w:rsidRPr="00923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мощностью до 100 кВт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по ядерной и радиационной безопасности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 в области обеспечения ядерной и радиационной безопасности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в отношении проверяемых субъектов, эксплуатирующих устройства, генерирующие рентгеновское излучение с ускоряющим напряжением ниже 100 кВ (кроме рентгеновских установок медицинского назначения), эксплуатирующих радиоизотопные приборы, содержащие источники альф</w:t>
            </w:r>
            <w:proofErr w:type="gramStart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или бета-излучения с активностью не более 2000 </w:t>
            </w:r>
            <w:proofErr w:type="spellStart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МБк</w:t>
            </w:r>
            <w:proofErr w:type="spellEnd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, проводящих работы с открытыми источниками ионизирующего излучения по третьему классу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6. Министерство природных ресурсов и охраны окружающей среды</w:t>
            </w:r>
          </w:p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природных ресурсов и охраны окружающей среды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контроль в области охраны окружающей среды, рационального использования природных ресурсов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в отношении проверяемых субъектов, относящихся к низкой группе риска и осуществляющих эксплуатацию менее 50 мобильных источников выбросов загрязняющих веществ, водопотребление в объеме от 5 до 140 куб. метров в сутки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7. Министерство сельского хозяйства и продовольствия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 за племенным делом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в отношении всех проверяемых субъектов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надзор в области семеноводства, карантина и защиты растений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Департамент ветеринарного и продовольственного надзора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контроль (надзор) за выполнением лицензиатами законодательства о лицензировании, лицензионных требований и условий осуществления лицензируемого вида деятельности – ветеринарной деятельности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Департамент ветеринарного и продовольственного надзора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контроль (надзор) в области ветеринарии, надзор в области обеспечения качества продовольственного сырья и пищевых продуктов, зерна, комбикормов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организации, подчиненные Министерству сельского хозяйства и продовольствия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Департамент ветеринарного и продовольственного надзора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надзор при экспорте, импорте и транзите грузов, подконтрольных государственному ветеринарному надзору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«Белорусское управление государственного ветеринарного надзора на государственной границе и транспорте»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5539"/>
        <w:gridCol w:w="3878"/>
      </w:tblGrid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8. Министерство торговли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 области торговли, общественного </w:t>
            </w:r>
            <w:r w:rsidRPr="00923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питания, бытового обслуживания населения, защиты прав потребителей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Министерство труда и социальной защиты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 занятости населения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10. Государственный комитет по имуществу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надзор за соблюдением проверяемыми субъектами законодательства о геодезической и картографической деятельности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11. Государственный комитет по стандартизации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государственного метрологического надзора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государственный метрологический надзор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 xml:space="preserve">12. Белорусский государственный концерн по нефти и химии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контроль (надзор) за выполнением лицензиатами законодательства о лицензировании, лицензионных требований и условий осуществления лицензируемого вида деятельности – оптовой и розничной торговли нефтепродуктами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при проверке складов хранения нефтепродуктов, автозаправочных станций</w:t>
            </w:r>
          </w:p>
        </w:tc>
      </w:tr>
      <w:tr w:rsidR="00923253" w:rsidRPr="0092325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13. Государственный комитет судебных экспертиз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надзор за качеством оказания медицинской помощи организациями здравоохранения независимо от форм собственности и ведомственной подчиненности и используемых для этих целей средств и аппаратуры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D4503" w:rsidRPr="00923253" w:rsidRDefault="007D4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253">
              <w:rPr>
                <w:rFonts w:ascii="Times New Roman" w:hAnsi="Times New Roman" w:cs="Times New Roman"/>
                <w:sz w:val="28"/>
                <w:szCs w:val="28"/>
              </w:rPr>
              <w:t>в отношении всех проверяемых субъектов</w:t>
            </w:r>
          </w:p>
        </w:tc>
      </w:tr>
    </w:tbl>
    <w:p w:rsidR="007D4503" w:rsidRPr="00923253" w:rsidRDefault="007D4503" w:rsidP="007D45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23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03" w:rsidRPr="00923253" w:rsidRDefault="007D4503">
      <w:pPr>
        <w:rPr>
          <w:rFonts w:ascii="Times New Roman" w:hAnsi="Times New Roman" w:cs="Times New Roman"/>
          <w:sz w:val="28"/>
          <w:szCs w:val="28"/>
        </w:rPr>
      </w:pPr>
    </w:p>
    <w:sectPr w:rsidR="007D4503" w:rsidRPr="00923253" w:rsidSect="00EF46E9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503"/>
    <w:rsid w:val="007D4503"/>
    <w:rsid w:val="00815253"/>
    <w:rsid w:val="00923253"/>
    <w:rsid w:val="00A2602D"/>
    <w:rsid w:val="00B37B09"/>
    <w:rsid w:val="00E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Kab-46</cp:lastModifiedBy>
  <cp:revision>7</cp:revision>
  <cp:lastPrinted>2015-12-23T06:04:00Z</cp:lastPrinted>
  <dcterms:created xsi:type="dcterms:W3CDTF">2014-01-14T13:15:00Z</dcterms:created>
  <dcterms:modified xsi:type="dcterms:W3CDTF">2017-09-22T11:12:00Z</dcterms:modified>
</cp:coreProperties>
</file>