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01" w:type="dxa"/>
        <w:tblLook w:val="04A0" w:firstRow="1" w:lastRow="0" w:firstColumn="1" w:lastColumn="0" w:noHBand="0" w:noVBand="1"/>
      </w:tblPr>
      <w:tblGrid>
        <w:gridCol w:w="7700"/>
        <w:gridCol w:w="7701"/>
      </w:tblGrid>
      <w:tr w:rsidR="000E0D4B" w:rsidRPr="00F93F6F" w:rsidTr="003C70EC">
        <w:trPr>
          <w:trHeight w:val="1688"/>
        </w:trPr>
        <w:tc>
          <w:tcPr>
            <w:tcW w:w="7700" w:type="dxa"/>
            <w:shd w:val="clear" w:color="auto" w:fill="auto"/>
          </w:tcPr>
          <w:p w:rsidR="000E0D4B" w:rsidRPr="00C21C94" w:rsidRDefault="000E0D4B" w:rsidP="003C70EC">
            <w:pPr>
              <w:autoSpaceDE w:val="0"/>
              <w:autoSpaceDN w:val="0"/>
              <w:adjustRightInd w:val="0"/>
              <w:spacing w:line="280" w:lineRule="exact"/>
              <w:ind w:left="142" w:right="1506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701" w:type="dxa"/>
            <w:shd w:val="clear" w:color="auto" w:fill="auto"/>
          </w:tcPr>
          <w:p w:rsidR="000E0D4B" w:rsidRPr="00F93F6F" w:rsidRDefault="000E0D4B" w:rsidP="003C70EC">
            <w:pPr>
              <w:autoSpaceDE w:val="0"/>
              <w:autoSpaceDN w:val="0"/>
              <w:adjustRightInd w:val="0"/>
              <w:spacing w:line="280" w:lineRule="exact"/>
              <w:ind w:left="2814" w:right="1506"/>
              <w:jc w:val="both"/>
              <w:rPr>
                <w:rFonts w:cs="Times New Roman"/>
              </w:rPr>
            </w:pPr>
            <w:r w:rsidRPr="00F93F6F">
              <w:rPr>
                <w:rFonts w:cs="Times New Roman"/>
              </w:rPr>
              <w:t>УТВЕРЖД</w:t>
            </w:r>
            <w:r>
              <w:rPr>
                <w:rFonts w:cs="Times New Roman"/>
              </w:rPr>
              <w:t>ЕНО</w:t>
            </w:r>
          </w:p>
          <w:p w:rsidR="000E0D4B" w:rsidRDefault="000E0D4B" w:rsidP="003C70EC">
            <w:pPr>
              <w:spacing w:line="280" w:lineRule="exact"/>
              <w:ind w:left="2814"/>
              <w:jc w:val="both"/>
            </w:pPr>
            <w:r>
              <w:t xml:space="preserve">Протокол Комиссии по противодействию коррупции  в государственном учреждении «Главная государственная инспекция по семеноводству, карантину и защите растений» </w:t>
            </w:r>
            <w:r w:rsidRPr="00F93F6F">
              <w:t xml:space="preserve"> </w:t>
            </w:r>
          </w:p>
          <w:p w:rsidR="000E0D4B" w:rsidRPr="00F93F6F" w:rsidRDefault="000E0D4B" w:rsidP="003C70EC">
            <w:pPr>
              <w:spacing w:line="280" w:lineRule="exact"/>
              <w:ind w:left="2814"/>
              <w:jc w:val="both"/>
              <w:rPr>
                <w:rFonts w:cs="Times New Roman"/>
              </w:rPr>
            </w:pPr>
            <w:r>
              <w:t xml:space="preserve">от </w:t>
            </w:r>
            <w:r w:rsidR="00FE1B93">
              <w:t xml:space="preserve">28 декабря 2022 г. </w:t>
            </w:r>
            <w:r>
              <w:t xml:space="preserve">№  </w:t>
            </w:r>
            <w:r w:rsidRPr="00F93F6F">
              <w:rPr>
                <w:rFonts w:cs="Times New Roman"/>
              </w:rPr>
              <w:t xml:space="preserve">  </w:t>
            </w:r>
            <w:r w:rsidR="00FE1B93">
              <w:rPr>
                <w:rFonts w:cs="Times New Roman"/>
              </w:rPr>
              <w:t>2</w:t>
            </w:r>
            <w:bookmarkStart w:id="0" w:name="_GoBack"/>
            <w:bookmarkEnd w:id="0"/>
            <w:r w:rsidRPr="00F93F6F">
              <w:rPr>
                <w:rFonts w:cs="Times New Roman"/>
              </w:rPr>
              <w:t xml:space="preserve">                       </w:t>
            </w:r>
          </w:p>
          <w:p w:rsidR="000E0D4B" w:rsidRPr="00F93F6F" w:rsidRDefault="000E0D4B" w:rsidP="003C70EC">
            <w:pPr>
              <w:ind w:left="2814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0E0D4B" w:rsidRPr="00F93F6F" w:rsidRDefault="000E0D4B" w:rsidP="000E0D4B">
      <w:pPr>
        <w:spacing w:line="280" w:lineRule="exact"/>
        <w:ind w:right="7482"/>
        <w:jc w:val="both"/>
        <w:rPr>
          <w:rFonts w:cs="Times New Roman"/>
        </w:rPr>
      </w:pPr>
      <w:r w:rsidRPr="00F93F6F">
        <w:rPr>
          <w:rFonts w:cs="Times New Roman"/>
        </w:rPr>
        <w:t xml:space="preserve">План </w:t>
      </w:r>
      <w:r>
        <w:rPr>
          <w:rFonts w:cs="Times New Roman"/>
        </w:rPr>
        <w:t>работы Комиссии по противодействию коррупции в государственном учреждении «Главная государственная инспекция по семеноводству, карантину и защите растений»</w:t>
      </w:r>
      <w:r w:rsidRPr="00F93F6F">
        <w:rPr>
          <w:rFonts w:cs="Times New Roman"/>
        </w:rPr>
        <w:t xml:space="preserve"> на </w:t>
      </w:r>
      <w:r>
        <w:rPr>
          <w:rFonts w:cs="Times New Roman"/>
        </w:rPr>
        <w:t>202</w:t>
      </w:r>
      <w:r w:rsidR="00A864F4">
        <w:rPr>
          <w:rFonts w:cs="Times New Roman"/>
        </w:rPr>
        <w:t>3</w:t>
      </w:r>
      <w:r>
        <w:rPr>
          <w:rFonts w:cs="Times New Roman"/>
        </w:rPr>
        <w:t xml:space="preserve"> год</w:t>
      </w:r>
      <w:r w:rsidRPr="00F93F6F">
        <w:rPr>
          <w:rFonts w:cs="Times New Roman"/>
        </w:rPr>
        <w:t xml:space="preserve"> </w:t>
      </w:r>
    </w:p>
    <w:p w:rsidR="000E0D4B" w:rsidRPr="00F93F6F" w:rsidRDefault="000E0D4B" w:rsidP="000E0D4B">
      <w:pPr>
        <w:rPr>
          <w:rFonts w:cs="Times New Roman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9099"/>
        <w:gridCol w:w="2127"/>
        <w:gridCol w:w="3402"/>
      </w:tblGrid>
      <w:tr w:rsidR="000E0D4B" w:rsidRPr="00375EE7" w:rsidTr="003C70EC">
        <w:tc>
          <w:tcPr>
            <w:tcW w:w="648" w:type="dxa"/>
            <w:shd w:val="clear" w:color="auto" w:fill="auto"/>
          </w:tcPr>
          <w:p w:rsidR="000E0D4B" w:rsidRPr="00375EE7" w:rsidRDefault="000E0D4B" w:rsidP="003C70E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75EE7">
              <w:rPr>
                <w:rFonts w:cs="Times New Roman"/>
                <w:sz w:val="28"/>
                <w:szCs w:val="28"/>
              </w:rPr>
              <w:t>№</w:t>
            </w:r>
          </w:p>
          <w:p w:rsidR="000E0D4B" w:rsidRPr="00375EE7" w:rsidRDefault="000E0D4B" w:rsidP="003C70EC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gramStart"/>
            <w:r w:rsidRPr="00375EE7">
              <w:rPr>
                <w:rFonts w:cs="Times New Roman"/>
                <w:sz w:val="28"/>
                <w:szCs w:val="28"/>
              </w:rPr>
              <w:t>п</w:t>
            </w:r>
            <w:proofErr w:type="gramEnd"/>
            <w:r w:rsidRPr="00375EE7">
              <w:rPr>
                <w:rFonts w:cs="Times New Roman"/>
                <w:sz w:val="28"/>
                <w:szCs w:val="28"/>
              </w:rPr>
              <w:t>/п</w:t>
            </w:r>
          </w:p>
        </w:tc>
        <w:tc>
          <w:tcPr>
            <w:tcW w:w="9099" w:type="dxa"/>
            <w:shd w:val="clear" w:color="auto" w:fill="auto"/>
          </w:tcPr>
          <w:p w:rsidR="000E0D4B" w:rsidRPr="00375EE7" w:rsidRDefault="000E0D4B" w:rsidP="003C70E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75EE7">
              <w:rPr>
                <w:rFonts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7" w:type="dxa"/>
            <w:shd w:val="clear" w:color="auto" w:fill="auto"/>
          </w:tcPr>
          <w:p w:rsidR="000E0D4B" w:rsidRPr="00375EE7" w:rsidRDefault="000E0D4B" w:rsidP="003C70E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75EE7">
              <w:rPr>
                <w:rFonts w:cs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3402" w:type="dxa"/>
            <w:shd w:val="clear" w:color="auto" w:fill="auto"/>
          </w:tcPr>
          <w:p w:rsidR="000E0D4B" w:rsidRPr="00375EE7" w:rsidRDefault="000E0D4B" w:rsidP="003C70EC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Исполнитель</w:t>
            </w:r>
          </w:p>
        </w:tc>
      </w:tr>
      <w:tr w:rsidR="000E0D4B" w:rsidRPr="008F5DCE" w:rsidTr="003C70EC">
        <w:trPr>
          <w:trHeight w:val="1265"/>
        </w:trPr>
        <w:tc>
          <w:tcPr>
            <w:tcW w:w="648" w:type="dxa"/>
            <w:shd w:val="clear" w:color="auto" w:fill="auto"/>
          </w:tcPr>
          <w:p w:rsidR="000E0D4B" w:rsidRPr="008F5DCE" w:rsidRDefault="000E0D4B" w:rsidP="003C70E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F5DCE">
              <w:rPr>
                <w:rFonts w:cs="Times New Roman"/>
                <w:sz w:val="28"/>
                <w:szCs w:val="28"/>
              </w:rPr>
              <w:t>1.</w:t>
            </w:r>
          </w:p>
        </w:tc>
        <w:tc>
          <w:tcPr>
            <w:tcW w:w="9099" w:type="dxa"/>
            <w:shd w:val="clear" w:color="auto" w:fill="auto"/>
          </w:tcPr>
          <w:p w:rsidR="000E0D4B" w:rsidRPr="008F5DCE" w:rsidRDefault="000E0D4B" w:rsidP="003C70EC">
            <w:pPr>
              <w:jc w:val="both"/>
              <w:rPr>
                <w:rFonts w:cs="Times New Roman"/>
                <w:spacing w:val="-6"/>
                <w:sz w:val="28"/>
                <w:szCs w:val="28"/>
              </w:rPr>
            </w:pPr>
            <w:r w:rsidRPr="008F5DCE">
              <w:rPr>
                <w:rFonts w:cs="Times New Roman"/>
                <w:sz w:val="28"/>
                <w:szCs w:val="28"/>
              </w:rPr>
              <w:t>Анализ соблюдения государственными должностными и приравненными к ним лицами требований статей 17,</w:t>
            </w:r>
            <w:r>
              <w:rPr>
                <w:rFonts w:cs="Times New Roman"/>
                <w:sz w:val="28"/>
                <w:szCs w:val="28"/>
              </w:rPr>
              <w:t xml:space="preserve"> 18,</w:t>
            </w:r>
            <w:r w:rsidRPr="008F5DCE">
              <w:rPr>
                <w:rFonts w:cs="Times New Roman"/>
                <w:sz w:val="28"/>
                <w:szCs w:val="28"/>
              </w:rPr>
              <w:t xml:space="preserve"> 20, 21 Закона Республики Беларусь «О борьбе с коррупцией»</w:t>
            </w:r>
            <w:r>
              <w:rPr>
                <w:rFonts w:cs="Times New Roman"/>
                <w:sz w:val="28"/>
                <w:szCs w:val="28"/>
              </w:rPr>
              <w:t xml:space="preserve"> (далее – Закон)</w:t>
            </w:r>
            <w:r w:rsidRPr="008F5DCE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:rsidR="000E0D4B" w:rsidRDefault="000E0D4B" w:rsidP="003C70EC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декабрь 202</w:t>
            </w:r>
            <w:r w:rsidR="00FE1B93">
              <w:rPr>
                <w:rFonts w:cs="Times New Roman"/>
                <w:sz w:val="28"/>
                <w:szCs w:val="28"/>
              </w:rPr>
              <w:t>3</w:t>
            </w:r>
          </w:p>
          <w:p w:rsidR="000E0D4B" w:rsidRPr="008F5DCE" w:rsidRDefault="000E0D4B" w:rsidP="003C70EC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0E0D4B" w:rsidRPr="008F5DCE" w:rsidRDefault="000E0D4B" w:rsidP="003C70EC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pacing w:val="-8"/>
                <w:sz w:val="28"/>
                <w:szCs w:val="28"/>
              </w:rPr>
              <w:t>заместители директора по направления</w:t>
            </w:r>
            <w:r w:rsidR="00FE1B93">
              <w:rPr>
                <w:rFonts w:cs="Times New Roman"/>
                <w:spacing w:val="-8"/>
                <w:sz w:val="28"/>
                <w:szCs w:val="28"/>
              </w:rPr>
              <w:t>м</w:t>
            </w:r>
            <w:r>
              <w:rPr>
                <w:rFonts w:cs="Times New Roman"/>
                <w:spacing w:val="-8"/>
                <w:sz w:val="28"/>
                <w:szCs w:val="28"/>
              </w:rPr>
              <w:t xml:space="preserve"> деятельности</w:t>
            </w:r>
          </w:p>
        </w:tc>
      </w:tr>
      <w:tr w:rsidR="000E0D4B" w:rsidRPr="00375EE7" w:rsidTr="003C70EC">
        <w:trPr>
          <w:trHeight w:val="79"/>
        </w:trPr>
        <w:tc>
          <w:tcPr>
            <w:tcW w:w="648" w:type="dxa"/>
            <w:shd w:val="clear" w:color="auto" w:fill="auto"/>
          </w:tcPr>
          <w:p w:rsidR="000E0D4B" w:rsidRDefault="00510BE3" w:rsidP="003C70EC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  <w:r w:rsidR="000E0D4B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9099" w:type="dxa"/>
            <w:shd w:val="clear" w:color="auto" w:fill="auto"/>
          </w:tcPr>
          <w:p w:rsidR="000E0D4B" w:rsidRDefault="000E0D4B" w:rsidP="003C70EC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Вручение соответствующих письменных обязательств под роспись работникам, которые в соответствие со статьей 1 Закона  являются государственными должностными лицами и лицами, приравненными к государственным должностным лицам.</w:t>
            </w:r>
          </w:p>
        </w:tc>
        <w:tc>
          <w:tcPr>
            <w:tcW w:w="2127" w:type="dxa"/>
            <w:shd w:val="clear" w:color="auto" w:fill="auto"/>
          </w:tcPr>
          <w:p w:rsidR="000E0D4B" w:rsidRDefault="000E0D4B" w:rsidP="003C70EC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при приеме на работу </w:t>
            </w:r>
          </w:p>
        </w:tc>
        <w:tc>
          <w:tcPr>
            <w:tcW w:w="3402" w:type="dxa"/>
            <w:shd w:val="clear" w:color="auto" w:fill="auto"/>
          </w:tcPr>
          <w:p w:rsidR="000E0D4B" w:rsidRDefault="000E0D4B" w:rsidP="003C70EC">
            <w:pPr>
              <w:jc w:val="both"/>
              <w:rPr>
                <w:rFonts w:cs="Times New Roman"/>
                <w:spacing w:val="-8"/>
                <w:sz w:val="28"/>
                <w:szCs w:val="28"/>
              </w:rPr>
            </w:pPr>
            <w:r>
              <w:rPr>
                <w:rFonts w:cs="Times New Roman"/>
                <w:spacing w:val="-8"/>
                <w:sz w:val="28"/>
                <w:szCs w:val="28"/>
              </w:rPr>
              <w:t xml:space="preserve">ведущий специалист по кадрам </w:t>
            </w:r>
            <w:r w:rsidRPr="008F5DCE">
              <w:rPr>
                <w:rFonts w:cs="Times New Roman"/>
                <w:sz w:val="28"/>
                <w:szCs w:val="28"/>
              </w:rPr>
              <w:t>организационно – правового отдела</w:t>
            </w:r>
          </w:p>
        </w:tc>
      </w:tr>
      <w:tr w:rsidR="000E0D4B" w:rsidRPr="00375EE7" w:rsidTr="003C70EC">
        <w:trPr>
          <w:trHeight w:val="853"/>
        </w:trPr>
        <w:tc>
          <w:tcPr>
            <w:tcW w:w="648" w:type="dxa"/>
            <w:shd w:val="clear" w:color="auto" w:fill="auto"/>
          </w:tcPr>
          <w:p w:rsidR="000E0D4B" w:rsidRDefault="00510BE3" w:rsidP="003C70EC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  <w:r w:rsidR="000E0D4B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9099" w:type="dxa"/>
            <w:shd w:val="clear" w:color="auto" w:fill="auto"/>
          </w:tcPr>
          <w:p w:rsidR="000E0D4B" w:rsidRDefault="000E0D4B" w:rsidP="00FE1B93">
            <w:pPr>
              <w:jc w:val="both"/>
              <w:rPr>
                <w:rFonts w:cs="Times New Roman"/>
                <w:sz w:val="28"/>
                <w:szCs w:val="28"/>
              </w:rPr>
            </w:pPr>
            <w:proofErr w:type="gramStart"/>
            <w:r>
              <w:rPr>
                <w:rFonts w:cs="Times New Roman"/>
                <w:sz w:val="28"/>
                <w:szCs w:val="28"/>
              </w:rPr>
              <w:t>Анализ информации о назначении супругов и лиц, состоящих между собой в близком родстве или свойстве, на должности, работа в которых связана с непосредственной подчиненностью или подконтрольностью одного из этих лиц другому (за исключением случаев, когда такой запрет прямо установлен законодательством) в целях предупреждения возникновения ситуации, при которых личные интересы работника, его супруги (супруга), близких родственников или свойственников влияют либо могут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повлиять на надлежащее исполнение этим работником своих служебных (трудовых) обязанностей при принятии им решения или </w:t>
            </w:r>
            <w:r>
              <w:rPr>
                <w:rFonts w:cs="Times New Roman"/>
                <w:sz w:val="28"/>
                <w:szCs w:val="28"/>
              </w:rPr>
              <w:lastRenderedPageBreak/>
              <w:t>участии в принятии решения либо совершении дру</w:t>
            </w:r>
            <w:r w:rsidR="00FE1B93">
              <w:rPr>
                <w:rFonts w:cs="Times New Roman"/>
                <w:sz w:val="28"/>
                <w:szCs w:val="28"/>
              </w:rPr>
              <w:t>гих действий по службе (работе)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:rsidR="000E0D4B" w:rsidRDefault="000E0D4B" w:rsidP="003C70EC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по мере необходимости</w:t>
            </w:r>
          </w:p>
        </w:tc>
        <w:tc>
          <w:tcPr>
            <w:tcW w:w="3402" w:type="dxa"/>
            <w:shd w:val="clear" w:color="auto" w:fill="auto"/>
          </w:tcPr>
          <w:p w:rsidR="000E0D4B" w:rsidRDefault="000E0D4B" w:rsidP="003C70EC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заместители директора</w:t>
            </w:r>
            <w:r>
              <w:rPr>
                <w:rFonts w:cs="Times New Roman"/>
                <w:spacing w:val="-8"/>
                <w:sz w:val="28"/>
                <w:szCs w:val="28"/>
              </w:rPr>
              <w:t xml:space="preserve"> по направлениям деятельности</w:t>
            </w:r>
          </w:p>
        </w:tc>
      </w:tr>
      <w:tr w:rsidR="000E0D4B" w:rsidRPr="00375EE7" w:rsidTr="003C70EC">
        <w:trPr>
          <w:trHeight w:val="853"/>
        </w:trPr>
        <w:tc>
          <w:tcPr>
            <w:tcW w:w="648" w:type="dxa"/>
            <w:shd w:val="clear" w:color="auto" w:fill="auto"/>
          </w:tcPr>
          <w:p w:rsidR="000E0D4B" w:rsidRDefault="00510BE3" w:rsidP="003C70EC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4</w:t>
            </w:r>
            <w:r w:rsidR="000E0D4B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9099" w:type="dxa"/>
            <w:shd w:val="clear" w:color="auto" w:fill="auto"/>
          </w:tcPr>
          <w:p w:rsidR="00A7731B" w:rsidRPr="00510BE3" w:rsidRDefault="000E0D4B" w:rsidP="003C70EC">
            <w:pPr>
              <w:jc w:val="both"/>
              <w:rPr>
                <w:rFonts w:eastAsia="SimSun"/>
                <w:kern w:val="2"/>
                <w:sz w:val="28"/>
                <w:szCs w:val="28"/>
              </w:rPr>
            </w:pPr>
            <w:proofErr w:type="gramStart"/>
            <w:r w:rsidRPr="004B6EB2">
              <w:rPr>
                <w:rFonts w:eastAsia="SimSun"/>
                <w:kern w:val="2"/>
                <w:sz w:val="28"/>
                <w:szCs w:val="28"/>
              </w:rPr>
              <w:t>Рассмотрение информации по проверке достоверности сведений</w:t>
            </w:r>
            <w:r>
              <w:rPr>
                <w:rFonts w:eastAsia="SimSun"/>
                <w:kern w:val="2"/>
                <w:sz w:val="28"/>
                <w:szCs w:val="28"/>
              </w:rPr>
              <w:t>, указанных</w:t>
            </w:r>
            <w:r w:rsidRPr="004B6EB2">
              <w:rPr>
                <w:rFonts w:eastAsia="SimSun"/>
                <w:kern w:val="2"/>
                <w:sz w:val="28"/>
                <w:szCs w:val="28"/>
              </w:rPr>
              <w:t xml:space="preserve"> в декларациях о доходах и имуществе, представленных в соответствии со статьей 23 Закона Республики Беларусь «О государственной службе в Республике Беларусь» и статьями 8-10 Закона Республики Беларусь «О декларировании физическими лицами доходов и имущества» (кроме случаев, когда в соответствии с законодательством проведение таких </w:t>
            </w:r>
            <w:r w:rsidR="00510BE3">
              <w:rPr>
                <w:rFonts w:eastAsia="SimSun"/>
                <w:kern w:val="2"/>
                <w:sz w:val="28"/>
                <w:szCs w:val="28"/>
              </w:rPr>
              <w:t xml:space="preserve">проверок является обязательным), а также </w:t>
            </w:r>
            <w:r w:rsidR="00510BE3" w:rsidRPr="00A7731B">
              <w:rPr>
                <w:rFonts w:cs="Times New Roman"/>
                <w:sz w:val="28"/>
                <w:szCs w:val="28"/>
              </w:rPr>
              <w:t>при наличии информации о нарушениях</w:t>
            </w:r>
            <w:proofErr w:type="gramEnd"/>
            <w:r w:rsidR="00510BE3" w:rsidRPr="00A7731B">
              <w:rPr>
                <w:rFonts w:cs="Times New Roman"/>
                <w:sz w:val="28"/>
                <w:szCs w:val="28"/>
              </w:rPr>
              <w:t xml:space="preserve"> порядка декларирования</w:t>
            </w:r>
          </w:p>
        </w:tc>
        <w:tc>
          <w:tcPr>
            <w:tcW w:w="2127" w:type="dxa"/>
            <w:shd w:val="clear" w:color="auto" w:fill="auto"/>
          </w:tcPr>
          <w:p w:rsidR="000E0D4B" w:rsidRPr="004B6EB2" w:rsidRDefault="000E0D4B" w:rsidP="003C70EC">
            <w:pPr>
              <w:jc w:val="both"/>
              <w:rPr>
                <w:rFonts w:cs="Times New Roman"/>
                <w:sz w:val="28"/>
                <w:szCs w:val="28"/>
              </w:rPr>
            </w:pPr>
            <w:r w:rsidRPr="004B6EB2">
              <w:rPr>
                <w:rFonts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3402" w:type="dxa"/>
            <w:shd w:val="clear" w:color="auto" w:fill="auto"/>
          </w:tcPr>
          <w:p w:rsidR="000E0D4B" w:rsidRPr="004B6EB2" w:rsidRDefault="000E0D4B" w:rsidP="003C70EC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eastAsia="SimSun"/>
                <w:kern w:val="2"/>
                <w:sz w:val="28"/>
                <w:szCs w:val="28"/>
              </w:rPr>
              <w:t xml:space="preserve">ведущий </w:t>
            </w:r>
            <w:r w:rsidRPr="004B6EB2">
              <w:rPr>
                <w:rFonts w:eastAsia="SimSun"/>
                <w:kern w:val="2"/>
                <w:sz w:val="28"/>
                <w:szCs w:val="28"/>
              </w:rPr>
              <w:t>специалист по кадрам</w:t>
            </w:r>
            <w:r>
              <w:rPr>
                <w:rFonts w:eastAsia="SimSun"/>
                <w:kern w:val="2"/>
                <w:sz w:val="28"/>
                <w:szCs w:val="28"/>
              </w:rPr>
              <w:t xml:space="preserve"> </w:t>
            </w:r>
            <w:r w:rsidRPr="008F5DCE">
              <w:rPr>
                <w:rFonts w:cs="Times New Roman"/>
                <w:sz w:val="28"/>
                <w:szCs w:val="28"/>
              </w:rPr>
              <w:t>организационно – правового отдела</w:t>
            </w:r>
          </w:p>
        </w:tc>
      </w:tr>
      <w:tr w:rsidR="000E0D4B" w:rsidRPr="008F5DCE" w:rsidTr="003C70EC">
        <w:trPr>
          <w:trHeight w:val="1278"/>
        </w:trPr>
        <w:tc>
          <w:tcPr>
            <w:tcW w:w="648" w:type="dxa"/>
            <w:shd w:val="clear" w:color="auto" w:fill="auto"/>
          </w:tcPr>
          <w:p w:rsidR="000E0D4B" w:rsidRPr="008F5DCE" w:rsidRDefault="00510BE3" w:rsidP="003C70EC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</w:t>
            </w:r>
            <w:r w:rsidR="000E0D4B" w:rsidRPr="008F5DCE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9099" w:type="dxa"/>
            <w:shd w:val="clear" w:color="auto" w:fill="auto"/>
          </w:tcPr>
          <w:p w:rsidR="000E0D4B" w:rsidRPr="008F5DCE" w:rsidRDefault="000E0D4B" w:rsidP="00FE1B93">
            <w:pPr>
              <w:pStyle w:val="ConsPlusNormal"/>
              <w:tabs>
                <w:tab w:val="left" w:pos="5812"/>
              </w:tabs>
              <w:jc w:val="both"/>
              <w:rPr>
                <w:sz w:val="28"/>
                <w:szCs w:val="28"/>
              </w:rPr>
            </w:pPr>
            <w:r w:rsidRPr="008F5DCE">
              <w:rPr>
                <w:sz w:val="28"/>
                <w:szCs w:val="28"/>
              </w:rPr>
              <w:t xml:space="preserve">Рассмотрение информации о мерах по профилактике коррупционных правонарушений, принимаемых территориальными организациями </w:t>
            </w:r>
          </w:p>
        </w:tc>
        <w:tc>
          <w:tcPr>
            <w:tcW w:w="2127" w:type="dxa"/>
            <w:shd w:val="clear" w:color="auto" w:fill="auto"/>
          </w:tcPr>
          <w:p w:rsidR="000E0D4B" w:rsidRPr="008F5DCE" w:rsidRDefault="000E0D4B" w:rsidP="003C70EC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3402" w:type="dxa"/>
            <w:shd w:val="clear" w:color="auto" w:fill="auto"/>
          </w:tcPr>
          <w:p w:rsidR="000E0D4B" w:rsidRDefault="000E0D4B" w:rsidP="003C70EC">
            <w:pPr>
              <w:jc w:val="both"/>
              <w:rPr>
                <w:rFonts w:cs="Times New Roman"/>
                <w:sz w:val="28"/>
                <w:szCs w:val="28"/>
              </w:rPr>
            </w:pPr>
            <w:r w:rsidRPr="008F5DCE">
              <w:rPr>
                <w:rFonts w:cs="Times New Roman"/>
                <w:sz w:val="28"/>
                <w:szCs w:val="28"/>
              </w:rPr>
              <w:t>председатели комис</w:t>
            </w:r>
            <w:r>
              <w:rPr>
                <w:rFonts w:cs="Times New Roman"/>
                <w:sz w:val="28"/>
                <w:szCs w:val="28"/>
              </w:rPr>
              <w:t>сии по противодействию</w:t>
            </w:r>
            <w:r w:rsidRPr="008F5DCE">
              <w:rPr>
                <w:rFonts w:cs="Times New Roman"/>
                <w:sz w:val="28"/>
                <w:szCs w:val="28"/>
              </w:rPr>
              <w:t xml:space="preserve"> коррупции территориальных организаций </w:t>
            </w:r>
          </w:p>
          <w:p w:rsidR="000E0D4B" w:rsidRPr="008F5DCE" w:rsidRDefault="000E0D4B" w:rsidP="003C70EC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0E0D4B" w:rsidRPr="008F5DCE" w:rsidTr="003C70EC">
        <w:trPr>
          <w:trHeight w:val="1278"/>
        </w:trPr>
        <w:tc>
          <w:tcPr>
            <w:tcW w:w="648" w:type="dxa"/>
            <w:shd w:val="clear" w:color="auto" w:fill="auto"/>
          </w:tcPr>
          <w:p w:rsidR="000E0D4B" w:rsidRPr="008F5DCE" w:rsidRDefault="00510BE3" w:rsidP="003C70EC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  <w:r w:rsidR="000E0D4B" w:rsidRPr="008F5DCE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9099" w:type="dxa"/>
            <w:shd w:val="clear" w:color="auto" w:fill="auto"/>
          </w:tcPr>
          <w:p w:rsidR="000E0D4B" w:rsidRDefault="000E0D4B" w:rsidP="003C70EC">
            <w:pPr>
              <w:pStyle w:val="ConsPlusNormal"/>
              <w:tabs>
                <w:tab w:val="left" w:pos="5812"/>
              </w:tabs>
              <w:jc w:val="both"/>
              <w:rPr>
                <w:sz w:val="28"/>
                <w:szCs w:val="28"/>
              </w:rPr>
            </w:pPr>
            <w:r w:rsidRPr="008F5DCE">
              <w:rPr>
                <w:sz w:val="28"/>
                <w:szCs w:val="28"/>
              </w:rPr>
              <w:t>Ра</w:t>
            </w:r>
            <w:r w:rsidR="00FE1B93">
              <w:rPr>
                <w:sz w:val="28"/>
                <w:szCs w:val="28"/>
              </w:rPr>
              <w:t xml:space="preserve">ссмотрение информации об </w:t>
            </w:r>
            <w:proofErr w:type="gramStart"/>
            <w:r w:rsidR="00FE1B93">
              <w:rPr>
                <w:sz w:val="28"/>
                <w:szCs w:val="28"/>
              </w:rPr>
              <w:t>итогах</w:t>
            </w:r>
            <w:proofErr w:type="gramEnd"/>
            <w:r w:rsidRPr="008F5DCE">
              <w:rPr>
                <w:sz w:val="28"/>
                <w:szCs w:val="28"/>
              </w:rPr>
              <w:t xml:space="preserve"> проведенных за счет средств республиканского бюджета и собственных средств процедур закупок товаров (работ, услуг) для нужд государственного учреждения «Главная государственная инспекция по семеноводству, карантину и защите растений», о соблюдении</w:t>
            </w:r>
            <w:r w:rsidRPr="008F5DCE">
              <w:t xml:space="preserve"> </w:t>
            </w:r>
            <w:r w:rsidRPr="008F5DCE">
              <w:rPr>
                <w:sz w:val="28"/>
                <w:szCs w:val="28"/>
              </w:rPr>
              <w:t xml:space="preserve"> установленного порядка осуществления закупок товаров (работ, услуг), </w:t>
            </w:r>
            <w:r w:rsidRPr="008F5DCE">
              <w:t xml:space="preserve"> </w:t>
            </w:r>
            <w:r w:rsidRPr="008F5DCE">
              <w:rPr>
                <w:sz w:val="28"/>
                <w:szCs w:val="28"/>
              </w:rPr>
              <w:t xml:space="preserve">рассмотрение информации о проблемных вопросах при осуществлении процедур государственных закупок товаров (работ, услуг) </w:t>
            </w:r>
          </w:p>
          <w:p w:rsidR="000E0D4B" w:rsidRPr="008F5DCE" w:rsidRDefault="000E0D4B" w:rsidP="003C70EC">
            <w:pPr>
              <w:pStyle w:val="ConsPlusNormal"/>
              <w:tabs>
                <w:tab w:val="left" w:pos="581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0E0D4B" w:rsidRDefault="000E0D4B" w:rsidP="003C70EC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июнь 202</w:t>
            </w:r>
            <w:r w:rsidR="00FE1B93">
              <w:rPr>
                <w:rFonts w:cs="Times New Roman"/>
                <w:sz w:val="28"/>
                <w:szCs w:val="28"/>
              </w:rPr>
              <w:t>3</w:t>
            </w:r>
          </w:p>
          <w:p w:rsidR="000E0D4B" w:rsidRPr="008F5DCE" w:rsidRDefault="000E0D4B" w:rsidP="00FE1B93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декабрь 202</w:t>
            </w:r>
            <w:r w:rsidR="00FE1B93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0E0D4B" w:rsidRPr="008F5DCE" w:rsidRDefault="000E0D4B" w:rsidP="003C70EC">
            <w:pPr>
              <w:jc w:val="both"/>
              <w:rPr>
                <w:rFonts w:cs="Times New Roman"/>
                <w:sz w:val="28"/>
                <w:szCs w:val="28"/>
              </w:rPr>
            </w:pPr>
            <w:r w:rsidRPr="008F5DCE">
              <w:rPr>
                <w:rFonts w:cs="Times New Roman"/>
                <w:sz w:val="28"/>
                <w:szCs w:val="28"/>
              </w:rPr>
              <w:t xml:space="preserve">ведущий </w:t>
            </w:r>
            <w:r>
              <w:rPr>
                <w:rFonts w:cs="Times New Roman"/>
                <w:sz w:val="28"/>
                <w:szCs w:val="28"/>
              </w:rPr>
              <w:t>специалист по организации закупок</w:t>
            </w:r>
            <w:r w:rsidRPr="008F5DCE">
              <w:rPr>
                <w:rFonts w:cs="Times New Roman"/>
                <w:sz w:val="28"/>
                <w:szCs w:val="28"/>
              </w:rPr>
              <w:t xml:space="preserve"> организационно – правового отдела</w:t>
            </w:r>
          </w:p>
        </w:tc>
      </w:tr>
      <w:tr w:rsidR="000E0D4B" w:rsidRPr="008F5DCE" w:rsidTr="003C70EC">
        <w:trPr>
          <w:trHeight w:val="1278"/>
        </w:trPr>
        <w:tc>
          <w:tcPr>
            <w:tcW w:w="648" w:type="dxa"/>
            <w:shd w:val="clear" w:color="auto" w:fill="auto"/>
          </w:tcPr>
          <w:p w:rsidR="000E0D4B" w:rsidRPr="008F5DCE" w:rsidRDefault="00510BE3" w:rsidP="003C70EC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</w:t>
            </w:r>
            <w:r w:rsidR="000E0D4B" w:rsidRPr="008F5DCE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9099" w:type="dxa"/>
            <w:shd w:val="clear" w:color="auto" w:fill="auto"/>
          </w:tcPr>
          <w:p w:rsidR="000E0D4B" w:rsidRPr="008F5DCE" w:rsidRDefault="000E0D4B" w:rsidP="003C70EC">
            <w:pPr>
              <w:pStyle w:val="ConsPlusNormal"/>
              <w:tabs>
                <w:tab w:val="left" w:pos="581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фактов по причинению государственному учреждению «Главная государственная инспекция по семеноводству, карантину и защите растений»  материального ущерба (имущественного вреда), в том числе в связи с уплатой административных штрафов, взыскании ущерба (вреда) с виновных лиц.</w:t>
            </w:r>
          </w:p>
        </w:tc>
        <w:tc>
          <w:tcPr>
            <w:tcW w:w="2127" w:type="dxa"/>
            <w:shd w:val="clear" w:color="auto" w:fill="auto"/>
          </w:tcPr>
          <w:p w:rsidR="000E0D4B" w:rsidRDefault="000E0D4B" w:rsidP="003C70EC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при их наличии</w:t>
            </w:r>
          </w:p>
        </w:tc>
        <w:tc>
          <w:tcPr>
            <w:tcW w:w="3402" w:type="dxa"/>
            <w:shd w:val="clear" w:color="auto" w:fill="auto"/>
          </w:tcPr>
          <w:p w:rsidR="000E0D4B" w:rsidRPr="008F5DCE" w:rsidRDefault="000E0D4B" w:rsidP="003C70EC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главный бухгалтер планово-учетного отдела</w:t>
            </w:r>
          </w:p>
        </w:tc>
      </w:tr>
      <w:tr w:rsidR="000E0D4B" w:rsidRPr="008F5DCE" w:rsidTr="003C70EC">
        <w:trPr>
          <w:trHeight w:val="416"/>
        </w:trPr>
        <w:tc>
          <w:tcPr>
            <w:tcW w:w="648" w:type="dxa"/>
            <w:shd w:val="clear" w:color="auto" w:fill="auto"/>
          </w:tcPr>
          <w:p w:rsidR="000E0D4B" w:rsidRPr="008F5DCE" w:rsidRDefault="00510BE3" w:rsidP="003C70EC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8</w:t>
            </w:r>
            <w:r w:rsidR="000E0D4B" w:rsidRPr="008F5DCE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9099" w:type="dxa"/>
            <w:shd w:val="clear" w:color="auto" w:fill="auto"/>
          </w:tcPr>
          <w:p w:rsidR="000E0D4B" w:rsidRPr="008F5DCE" w:rsidRDefault="000E0D4B" w:rsidP="003C70EC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8F5DCE">
              <w:rPr>
                <w:rFonts w:cs="Times New Roman"/>
                <w:sz w:val="28"/>
                <w:szCs w:val="28"/>
              </w:rPr>
              <w:t>Подготовка и рассмотрение Плана работы Комиссии по противодействию коррупции в государственном учреждении «Главная государственная инспекция по семеноводству, карантину и защите растений» на 202</w:t>
            </w:r>
            <w:r>
              <w:rPr>
                <w:rFonts w:cs="Times New Roman"/>
                <w:sz w:val="28"/>
                <w:szCs w:val="28"/>
              </w:rPr>
              <w:t>3</w:t>
            </w:r>
            <w:r w:rsidRPr="008F5DCE">
              <w:rPr>
                <w:rFonts w:cs="Times New Roman"/>
                <w:sz w:val="28"/>
                <w:szCs w:val="28"/>
              </w:rPr>
              <w:t xml:space="preserve"> год </w:t>
            </w:r>
          </w:p>
        </w:tc>
        <w:tc>
          <w:tcPr>
            <w:tcW w:w="2127" w:type="dxa"/>
            <w:shd w:val="clear" w:color="auto" w:fill="auto"/>
          </w:tcPr>
          <w:p w:rsidR="000E0D4B" w:rsidRPr="008F5DCE" w:rsidRDefault="000E0D4B" w:rsidP="00FE1B93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декабрь 202</w:t>
            </w:r>
            <w:r w:rsidR="00FE1B93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0E0D4B" w:rsidRPr="008F5DCE" w:rsidRDefault="000E0D4B" w:rsidP="003C70EC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секретарь комиссии по противодействию коррупции </w:t>
            </w:r>
          </w:p>
        </w:tc>
      </w:tr>
      <w:tr w:rsidR="000E0D4B" w:rsidRPr="008F5DCE" w:rsidTr="003C70EC">
        <w:trPr>
          <w:trHeight w:val="416"/>
        </w:trPr>
        <w:tc>
          <w:tcPr>
            <w:tcW w:w="648" w:type="dxa"/>
            <w:shd w:val="clear" w:color="auto" w:fill="auto"/>
          </w:tcPr>
          <w:p w:rsidR="000E0D4B" w:rsidRPr="008F5DCE" w:rsidRDefault="00510BE3" w:rsidP="003C70EC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</w:t>
            </w:r>
            <w:r w:rsidR="000E0D4B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9099" w:type="dxa"/>
            <w:shd w:val="clear" w:color="auto" w:fill="auto"/>
          </w:tcPr>
          <w:p w:rsidR="000E0D4B" w:rsidRPr="008F5DCE" w:rsidRDefault="000E0D4B" w:rsidP="003C70EC">
            <w:pPr>
              <w:jc w:val="both"/>
              <w:rPr>
                <w:rFonts w:cs="Times New Roman"/>
                <w:sz w:val="28"/>
                <w:szCs w:val="28"/>
              </w:rPr>
            </w:pPr>
            <w:r w:rsidRPr="008F5DCE">
              <w:rPr>
                <w:rFonts w:cs="Times New Roman"/>
                <w:sz w:val="28"/>
                <w:szCs w:val="28"/>
              </w:rPr>
              <w:t>Рассмотрение иных вопросов с учетом поручений Министра сельского хозяйства и продовольствия, а также поступивших предложений граждан</w:t>
            </w:r>
            <w:r>
              <w:rPr>
                <w:rFonts w:cs="Times New Roman"/>
                <w:sz w:val="28"/>
                <w:szCs w:val="28"/>
              </w:rPr>
              <w:t xml:space="preserve">, в т. ч. индивидуальных предпринимателей </w:t>
            </w:r>
            <w:r w:rsidRPr="008F5DCE">
              <w:rPr>
                <w:rFonts w:cs="Times New Roman"/>
                <w:sz w:val="28"/>
                <w:szCs w:val="28"/>
              </w:rPr>
              <w:t xml:space="preserve"> и юридических лиц о мерах по противодействию коррупции и иной информации в соответствии с компетенцией Комиссии</w:t>
            </w:r>
          </w:p>
          <w:p w:rsidR="000E0D4B" w:rsidRPr="008F5DCE" w:rsidRDefault="000E0D4B" w:rsidP="003C70EC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0E0D4B" w:rsidRPr="008F5DCE" w:rsidRDefault="000E0D4B" w:rsidP="003C70EC">
            <w:pPr>
              <w:jc w:val="both"/>
              <w:rPr>
                <w:rFonts w:cs="Times New Roman"/>
                <w:sz w:val="28"/>
                <w:szCs w:val="28"/>
              </w:rPr>
            </w:pPr>
            <w:r w:rsidRPr="008F5DCE">
              <w:rPr>
                <w:rFonts w:cs="Times New Roman"/>
                <w:sz w:val="28"/>
                <w:szCs w:val="28"/>
              </w:rPr>
              <w:t>по мере поступления</w:t>
            </w:r>
          </w:p>
        </w:tc>
        <w:tc>
          <w:tcPr>
            <w:tcW w:w="3402" w:type="dxa"/>
            <w:shd w:val="clear" w:color="auto" w:fill="auto"/>
          </w:tcPr>
          <w:p w:rsidR="000E0D4B" w:rsidRPr="008F5DCE" w:rsidRDefault="000E0D4B" w:rsidP="003C70EC">
            <w:pPr>
              <w:jc w:val="both"/>
              <w:rPr>
                <w:rFonts w:cs="Times New Roman"/>
                <w:sz w:val="28"/>
                <w:szCs w:val="28"/>
              </w:rPr>
            </w:pPr>
            <w:r w:rsidRPr="008F5DCE">
              <w:rPr>
                <w:rFonts w:cs="Times New Roman"/>
                <w:sz w:val="28"/>
                <w:szCs w:val="28"/>
              </w:rPr>
              <w:t>комиссия по противодействи</w:t>
            </w:r>
            <w:r>
              <w:rPr>
                <w:rFonts w:cs="Times New Roman"/>
                <w:sz w:val="28"/>
                <w:szCs w:val="28"/>
              </w:rPr>
              <w:t>ю</w:t>
            </w:r>
            <w:r w:rsidRPr="008F5DCE">
              <w:rPr>
                <w:rFonts w:cs="Times New Roman"/>
                <w:sz w:val="28"/>
                <w:szCs w:val="28"/>
              </w:rPr>
              <w:t xml:space="preserve"> коррупции</w:t>
            </w:r>
          </w:p>
        </w:tc>
      </w:tr>
      <w:tr w:rsidR="000E0D4B" w:rsidRPr="008F5DCE" w:rsidTr="003C70EC">
        <w:trPr>
          <w:trHeight w:val="416"/>
        </w:trPr>
        <w:tc>
          <w:tcPr>
            <w:tcW w:w="648" w:type="dxa"/>
            <w:shd w:val="clear" w:color="auto" w:fill="auto"/>
          </w:tcPr>
          <w:p w:rsidR="000E0D4B" w:rsidRPr="008F5DCE" w:rsidRDefault="000E0D4B" w:rsidP="00510BE3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  <w:r w:rsidR="00510BE3">
              <w:rPr>
                <w:rFonts w:cs="Times New Roman"/>
                <w:sz w:val="28"/>
                <w:szCs w:val="28"/>
              </w:rPr>
              <w:t>0</w:t>
            </w:r>
            <w:r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9099" w:type="dxa"/>
            <w:shd w:val="clear" w:color="auto" w:fill="auto"/>
          </w:tcPr>
          <w:p w:rsidR="000E0D4B" w:rsidRDefault="000E0D4B" w:rsidP="003C70EC">
            <w:pPr>
              <w:jc w:val="both"/>
              <w:rPr>
                <w:rFonts w:cs="Times New Roman"/>
                <w:sz w:val="28"/>
                <w:szCs w:val="28"/>
              </w:rPr>
            </w:pPr>
            <w:r w:rsidRPr="008F5DCE">
              <w:rPr>
                <w:rFonts w:cs="Times New Roman"/>
                <w:sz w:val="28"/>
                <w:szCs w:val="28"/>
              </w:rPr>
              <w:t>Рассмотрение предложений членов Комиссии о совершенствовании методической и организационной работы по противодействию коррупции, законодательства о борьбе с коррупцией</w:t>
            </w:r>
          </w:p>
          <w:p w:rsidR="000E0D4B" w:rsidRPr="008F5DCE" w:rsidRDefault="000E0D4B" w:rsidP="003C70EC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0E0D4B" w:rsidRPr="008F5DCE" w:rsidRDefault="000E0D4B" w:rsidP="003C70EC">
            <w:pPr>
              <w:jc w:val="both"/>
              <w:rPr>
                <w:rFonts w:cs="Times New Roman"/>
                <w:sz w:val="28"/>
                <w:szCs w:val="28"/>
              </w:rPr>
            </w:pPr>
            <w:r w:rsidRPr="008F5DCE">
              <w:rPr>
                <w:rFonts w:cs="Times New Roman"/>
                <w:sz w:val="28"/>
                <w:szCs w:val="28"/>
              </w:rPr>
              <w:t>по мере поступления</w:t>
            </w:r>
          </w:p>
        </w:tc>
        <w:tc>
          <w:tcPr>
            <w:tcW w:w="3402" w:type="dxa"/>
            <w:shd w:val="clear" w:color="auto" w:fill="auto"/>
          </w:tcPr>
          <w:p w:rsidR="000E0D4B" w:rsidRPr="008F5DCE" w:rsidRDefault="000E0D4B" w:rsidP="003C70EC">
            <w:pPr>
              <w:jc w:val="both"/>
              <w:rPr>
                <w:rFonts w:cs="Times New Roman"/>
                <w:sz w:val="28"/>
                <w:szCs w:val="28"/>
              </w:rPr>
            </w:pPr>
            <w:r w:rsidRPr="008F5DCE">
              <w:rPr>
                <w:rFonts w:cs="Times New Roman"/>
                <w:sz w:val="28"/>
                <w:szCs w:val="28"/>
              </w:rPr>
              <w:t>комиссия</w:t>
            </w:r>
            <w:r>
              <w:rPr>
                <w:rFonts w:cs="Times New Roman"/>
                <w:sz w:val="28"/>
                <w:szCs w:val="28"/>
              </w:rPr>
              <w:t xml:space="preserve"> по противодействию</w:t>
            </w:r>
            <w:r w:rsidRPr="008F5DCE">
              <w:rPr>
                <w:rFonts w:cs="Times New Roman"/>
                <w:sz w:val="28"/>
                <w:szCs w:val="28"/>
              </w:rPr>
              <w:t xml:space="preserve"> коррупции</w:t>
            </w:r>
          </w:p>
        </w:tc>
      </w:tr>
      <w:tr w:rsidR="000E0D4B" w:rsidRPr="008F5DCE" w:rsidTr="003C70EC">
        <w:trPr>
          <w:trHeight w:val="416"/>
        </w:trPr>
        <w:tc>
          <w:tcPr>
            <w:tcW w:w="648" w:type="dxa"/>
            <w:shd w:val="clear" w:color="auto" w:fill="auto"/>
          </w:tcPr>
          <w:p w:rsidR="000E0D4B" w:rsidRPr="008F5DCE" w:rsidRDefault="000E0D4B" w:rsidP="00510BE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F5DCE">
              <w:rPr>
                <w:rFonts w:cs="Times New Roman"/>
                <w:sz w:val="28"/>
                <w:szCs w:val="28"/>
              </w:rPr>
              <w:t>1</w:t>
            </w:r>
            <w:r w:rsidR="00510BE3">
              <w:rPr>
                <w:rFonts w:cs="Times New Roman"/>
                <w:sz w:val="28"/>
                <w:szCs w:val="28"/>
              </w:rPr>
              <w:t>1</w:t>
            </w:r>
            <w:r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9099" w:type="dxa"/>
            <w:shd w:val="clear" w:color="auto" w:fill="auto"/>
          </w:tcPr>
          <w:p w:rsidR="000E0D4B" w:rsidRPr="008F5DCE" w:rsidRDefault="000E0D4B" w:rsidP="003C70EC">
            <w:pPr>
              <w:jc w:val="both"/>
              <w:rPr>
                <w:rFonts w:cs="Times New Roman"/>
                <w:sz w:val="28"/>
                <w:szCs w:val="28"/>
              </w:rPr>
            </w:pPr>
            <w:r w:rsidRPr="00177A85">
              <w:rPr>
                <w:rFonts w:cs="Times New Roman"/>
                <w:color w:val="000000"/>
                <w:sz w:val="28"/>
                <w:szCs w:val="28"/>
              </w:rPr>
              <w:t>О рассмотрении представлений, определений правоохранительных органов «Об устранении причин и условий, способствующих совершению правонарушений», иной информации о совершенных коррупционных правонарушениях, создающих условия для коррупции.</w:t>
            </w:r>
          </w:p>
        </w:tc>
        <w:tc>
          <w:tcPr>
            <w:tcW w:w="2127" w:type="dxa"/>
            <w:shd w:val="clear" w:color="auto" w:fill="auto"/>
          </w:tcPr>
          <w:p w:rsidR="000E0D4B" w:rsidRPr="008F5DCE" w:rsidRDefault="000E0D4B" w:rsidP="003C70EC">
            <w:pPr>
              <w:jc w:val="both"/>
              <w:rPr>
                <w:rFonts w:cs="Times New Roman"/>
                <w:sz w:val="28"/>
                <w:szCs w:val="28"/>
              </w:rPr>
            </w:pPr>
            <w:r w:rsidRPr="008F5DCE">
              <w:rPr>
                <w:rFonts w:cs="Times New Roman"/>
                <w:sz w:val="28"/>
                <w:szCs w:val="28"/>
              </w:rPr>
              <w:t>по мере поступления</w:t>
            </w:r>
          </w:p>
        </w:tc>
        <w:tc>
          <w:tcPr>
            <w:tcW w:w="3402" w:type="dxa"/>
            <w:shd w:val="clear" w:color="auto" w:fill="auto"/>
          </w:tcPr>
          <w:p w:rsidR="000E0D4B" w:rsidRPr="008F5DCE" w:rsidRDefault="000E0D4B" w:rsidP="003C70EC">
            <w:pPr>
              <w:jc w:val="both"/>
              <w:rPr>
                <w:rFonts w:cs="Times New Roman"/>
                <w:sz w:val="28"/>
                <w:szCs w:val="28"/>
              </w:rPr>
            </w:pPr>
            <w:r w:rsidRPr="008F5DCE">
              <w:rPr>
                <w:rFonts w:cs="Times New Roman"/>
                <w:sz w:val="28"/>
                <w:szCs w:val="28"/>
              </w:rPr>
              <w:t>комиссия по противодействи</w:t>
            </w:r>
            <w:r>
              <w:rPr>
                <w:rFonts w:cs="Times New Roman"/>
                <w:sz w:val="28"/>
                <w:szCs w:val="28"/>
              </w:rPr>
              <w:t>ю</w:t>
            </w:r>
            <w:r w:rsidRPr="008F5DCE">
              <w:rPr>
                <w:rFonts w:cs="Times New Roman"/>
                <w:sz w:val="28"/>
                <w:szCs w:val="28"/>
              </w:rPr>
              <w:t xml:space="preserve"> коррупции</w:t>
            </w:r>
          </w:p>
        </w:tc>
      </w:tr>
      <w:tr w:rsidR="00BE3C37" w:rsidRPr="008F5DCE" w:rsidTr="003C70EC">
        <w:trPr>
          <w:trHeight w:val="416"/>
        </w:trPr>
        <w:tc>
          <w:tcPr>
            <w:tcW w:w="648" w:type="dxa"/>
            <w:shd w:val="clear" w:color="auto" w:fill="auto"/>
          </w:tcPr>
          <w:p w:rsidR="00BE3C37" w:rsidRPr="008F5DCE" w:rsidRDefault="00BE3C37" w:rsidP="00510BE3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</w:t>
            </w:r>
            <w:r w:rsidR="00FE1B93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9099" w:type="dxa"/>
            <w:shd w:val="clear" w:color="auto" w:fill="auto"/>
          </w:tcPr>
          <w:p w:rsidR="00BE3C37" w:rsidRPr="00177A85" w:rsidRDefault="00BE3C37" w:rsidP="00BE3C37">
            <w:pPr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BE3C37">
              <w:rPr>
                <w:rFonts w:cs="Times New Roman"/>
                <w:color w:val="000000"/>
                <w:sz w:val="28"/>
                <w:szCs w:val="28"/>
              </w:rPr>
              <w:t>Размещение информ</w:t>
            </w:r>
            <w:r>
              <w:rPr>
                <w:rFonts w:cs="Times New Roman"/>
                <w:color w:val="000000"/>
                <w:sz w:val="28"/>
                <w:szCs w:val="28"/>
              </w:rPr>
              <w:t xml:space="preserve">ации о деятельности комиссии на </w:t>
            </w:r>
            <w:r w:rsidRPr="00BE3C37">
              <w:rPr>
                <w:rFonts w:cs="Times New Roman"/>
                <w:color w:val="000000"/>
                <w:sz w:val="28"/>
                <w:szCs w:val="28"/>
              </w:rPr>
              <w:t xml:space="preserve">официальном сайте </w:t>
            </w:r>
            <w:r>
              <w:rPr>
                <w:rFonts w:cs="Times New Roman"/>
                <w:color w:val="000000"/>
                <w:sz w:val="28"/>
                <w:szCs w:val="28"/>
              </w:rPr>
              <w:t xml:space="preserve">и поддержание ее в актуальном </w:t>
            </w:r>
            <w:r w:rsidRPr="00BE3C37">
              <w:rPr>
                <w:rFonts w:cs="Times New Roman"/>
                <w:color w:val="000000"/>
                <w:sz w:val="28"/>
                <w:szCs w:val="28"/>
              </w:rPr>
              <w:t>состоянии</w:t>
            </w:r>
          </w:p>
        </w:tc>
        <w:tc>
          <w:tcPr>
            <w:tcW w:w="2127" w:type="dxa"/>
            <w:shd w:val="clear" w:color="auto" w:fill="auto"/>
          </w:tcPr>
          <w:p w:rsidR="00BE3C37" w:rsidRPr="008F5DCE" w:rsidRDefault="00BE3C37" w:rsidP="003C70EC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02" w:type="dxa"/>
            <w:shd w:val="clear" w:color="auto" w:fill="auto"/>
          </w:tcPr>
          <w:p w:rsidR="00BE3C37" w:rsidRPr="008F5DCE" w:rsidRDefault="00BE3C37" w:rsidP="003C70EC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начальник организационно </w:t>
            </w:r>
            <w:proofErr w:type="gramStart"/>
            <w:r>
              <w:rPr>
                <w:rFonts w:cs="Times New Roman"/>
                <w:sz w:val="28"/>
                <w:szCs w:val="28"/>
              </w:rPr>
              <w:t>-п</w:t>
            </w:r>
            <w:proofErr w:type="gramEnd"/>
            <w:r>
              <w:rPr>
                <w:rFonts w:cs="Times New Roman"/>
                <w:sz w:val="28"/>
                <w:szCs w:val="28"/>
              </w:rPr>
              <w:t>равового отдела</w:t>
            </w:r>
          </w:p>
        </w:tc>
      </w:tr>
    </w:tbl>
    <w:p w:rsidR="000E0D4B" w:rsidRPr="00375EE7" w:rsidRDefault="000E0D4B" w:rsidP="000E0D4B">
      <w:pPr>
        <w:autoSpaceDE w:val="0"/>
        <w:autoSpaceDN w:val="0"/>
        <w:adjustRightInd w:val="0"/>
        <w:spacing w:line="280" w:lineRule="exact"/>
        <w:ind w:right="1506"/>
        <w:jc w:val="both"/>
        <w:rPr>
          <w:rFonts w:cs="Times New Roman"/>
          <w:sz w:val="28"/>
          <w:szCs w:val="28"/>
        </w:rPr>
      </w:pPr>
    </w:p>
    <w:p w:rsidR="00CE1E8E" w:rsidRDefault="00CE1E8E"/>
    <w:sectPr w:rsidR="00CE1E8E" w:rsidSect="00F32B93">
      <w:headerReference w:type="even" r:id="rId7"/>
      <w:headerReference w:type="default" r:id="rId8"/>
      <w:pgSz w:w="16838" w:h="11906" w:orient="landscape"/>
      <w:pgMar w:top="1134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87B" w:rsidRDefault="0067687B">
      <w:r>
        <w:separator/>
      </w:r>
    </w:p>
  </w:endnote>
  <w:endnote w:type="continuationSeparator" w:id="0">
    <w:p w:rsidR="0067687B" w:rsidRDefault="00676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87B" w:rsidRDefault="0067687B">
      <w:r>
        <w:separator/>
      </w:r>
    </w:p>
  </w:footnote>
  <w:footnote w:type="continuationSeparator" w:id="0">
    <w:p w:rsidR="0067687B" w:rsidRDefault="006768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767" w:rsidRDefault="000E0D4B" w:rsidP="00817FF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31767" w:rsidRDefault="0067687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767" w:rsidRDefault="000E0D4B" w:rsidP="00817FF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E1B93">
      <w:rPr>
        <w:rStyle w:val="a5"/>
        <w:noProof/>
      </w:rPr>
      <w:t>3</w:t>
    </w:r>
    <w:r>
      <w:rPr>
        <w:rStyle w:val="a5"/>
      </w:rPr>
      <w:fldChar w:fldCharType="end"/>
    </w:r>
  </w:p>
  <w:p w:rsidR="00E31767" w:rsidRDefault="0067687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AF2"/>
    <w:rsid w:val="0008060A"/>
    <w:rsid w:val="000E0D4B"/>
    <w:rsid w:val="00162A45"/>
    <w:rsid w:val="00510BE3"/>
    <w:rsid w:val="0067687B"/>
    <w:rsid w:val="00A7731B"/>
    <w:rsid w:val="00A864F4"/>
    <w:rsid w:val="00BE3C37"/>
    <w:rsid w:val="00CE1E8E"/>
    <w:rsid w:val="00EB7AF2"/>
    <w:rsid w:val="00FE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D4B"/>
    <w:pPr>
      <w:spacing w:after="0" w:line="240" w:lineRule="auto"/>
    </w:pPr>
    <w:rPr>
      <w:rFonts w:ascii="Times New Roman" w:eastAsia="Times New Roman" w:hAnsi="Times New Roman" w:cs="Calibri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E0D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E0D4B"/>
    <w:rPr>
      <w:rFonts w:ascii="Times New Roman" w:eastAsia="Times New Roman" w:hAnsi="Times New Roman" w:cs="Calibri"/>
      <w:sz w:val="30"/>
      <w:szCs w:val="30"/>
      <w:lang w:eastAsia="ru-RU"/>
    </w:rPr>
  </w:style>
  <w:style w:type="character" w:styleId="a5">
    <w:name w:val="page number"/>
    <w:basedOn w:val="a0"/>
    <w:rsid w:val="000E0D4B"/>
  </w:style>
  <w:style w:type="paragraph" w:customStyle="1" w:styleId="ConsPlusNormal">
    <w:name w:val="ConsPlusNormal"/>
    <w:rsid w:val="000E0D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10BE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0BE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D4B"/>
    <w:pPr>
      <w:spacing w:after="0" w:line="240" w:lineRule="auto"/>
    </w:pPr>
    <w:rPr>
      <w:rFonts w:ascii="Times New Roman" w:eastAsia="Times New Roman" w:hAnsi="Times New Roman" w:cs="Calibri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E0D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E0D4B"/>
    <w:rPr>
      <w:rFonts w:ascii="Times New Roman" w:eastAsia="Times New Roman" w:hAnsi="Times New Roman" w:cs="Calibri"/>
      <w:sz w:val="30"/>
      <w:szCs w:val="30"/>
      <w:lang w:eastAsia="ru-RU"/>
    </w:rPr>
  </w:style>
  <w:style w:type="character" w:styleId="a5">
    <w:name w:val="page number"/>
    <w:basedOn w:val="a0"/>
    <w:rsid w:val="000E0D4B"/>
  </w:style>
  <w:style w:type="paragraph" w:customStyle="1" w:styleId="ConsPlusNormal">
    <w:name w:val="ConsPlusNormal"/>
    <w:rsid w:val="000E0D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10BE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0B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Noname</dc:creator>
  <cp:keywords/>
  <dc:description/>
  <cp:lastModifiedBy>Noname</cp:lastModifiedBy>
  <cp:revision>6</cp:revision>
  <cp:lastPrinted>2022-12-29T05:52:00Z</cp:lastPrinted>
  <dcterms:created xsi:type="dcterms:W3CDTF">2021-12-20T05:24:00Z</dcterms:created>
  <dcterms:modified xsi:type="dcterms:W3CDTF">2022-12-29T05:54:00Z</dcterms:modified>
</cp:coreProperties>
</file>